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CalcApp::ModuleInitializer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モジュール初期化クラス。アセンブリ解決ハンドラを最初に登録します。</w:t>
      </w:r>
    </w:p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initialize"/>
    <w:p>
      <w:pPr>
        <w:pStyle w:val="2"/>
      </w:pPr>
      <w:r>
        <w:t xml:space="preserve">Initialize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Initialize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()</w:t>
      </w:r>
    </w:p>
    <w:p>
      <w:pPr>
        <w:pStyle w:val="FirstParagraph"/>
      </w:pPr>
      <w:r>
        <w:rPr>
          <w:rFonts w:hint="eastAsia"/>
        </w:rPr>
        <w:t xml:space="preserve">モジュール初期化メソッド。型の読み込み前に実行されます。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CalcApp::ModuleInitializer</dc:title>
  <dc:creator>doxygen and doxybook2</dc:creator>
  <cp:keywords/>
  <dcterms:created xsi:type="dcterms:W3CDTF">2026-04-02T12:26:15Z</dcterms:created>
  <dcterms:modified xsi:type="dcterms:W3CDTF">2026-04-02T12:26:15Z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モジュール初期化クラス。アセンブリ解決ハンドラを最初に登録します。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