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 </w:t>
      </w:r>
      <w:r>
        <w:rPr>
          <w:rFonts w:hint="eastAsia"/>
        </w:rPr>
        <w:t xml:space="preserve">コマンドの処理フロー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calc コマンドは libcalc </w:t>
      </w:r>
      <w:r>
        <w:rPr>
          <w:rFonts w:hint="eastAsia"/>
        </w:rPr>
        <w:t xml:space="preserve">(動的ライブラリ)</w:t>
      </w:r>
      <w:r>
        <w:t xml:space="preserve"> </w:t>
      </w:r>
      <w:r>
        <w:rPr>
          <w:rFonts w:hint="eastAsia"/>
        </w:rPr>
        <w:t xml:space="preserve">をロードし、演算種別を指定して計算を行います。</w:t>
      </w:r>
    </w:p>
    <w:bookmarkStart w:id="20" w:name="処理フロー"/>
    <w:p>
      <w:pPr>
        <w:pStyle w:val="10"/>
      </w:pPr>
      <w:r>
        <w:rPr>
          <w:rFonts w:hint="eastAsia"/>
        </w:rPr>
        <w:t xml:space="preserve">処理フロー</w:t>
      </w:r>
    </w:p>
    <w:p>
      <w:pPr>
        <w:pStyle w:val="FirstParagraph"/>
      </w:pPr>
      <w:r>
        <w:rPr>
          <w:rFonts w:hint="eastAsia"/>
        </w:rPr>
        <w:t xml:space="preserve">以下に、calc</w:t>
      </w:r>
      <w:r>
        <w:t xml:space="preserve"> </w:t>
      </w:r>
      <w:r>
        <w:rPr>
          <w:rFonts w:hint="eastAsia"/>
        </w:rPr>
        <w:t xml:space="preserve">コマンドの処理フローを示します。</w:t>
      </w:r>
    </w:p>
    <w:p>
      <w:pPr>
        <w:pStyle w:val="CaptionedFigure"/>
      </w:pPr>
      <w:r>
        <w:drawing>
          <wp:inline>
            <wp:extent cx="5380522" cy="2300437"/>
            <wp:effectExtent b="0" l="0" r="0" t="0"/>
            <wp:docPr descr="calc コマンドの処理フロー" title="" id="18" name="Picture"/>
            <a:graphic>
              <a:graphicData uri="http://schemas.openxmlformats.org/drawingml/2006/picture">
                <pic:pic>
                  <pic:nvPicPr>
                    <pic:cNvPr descr="images/calc-flow.pn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522" cy="230043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 </w:t>
      </w:r>
      <w:r>
        <w:rPr>
          <w:rFonts w:hint="eastAsia"/>
        </w:rPr>
        <w:t xml:space="preserve">コマンドの処理フロー</w:t>
      </w:r>
    </w:p>
    <w:bookmarkEnd w:id="20"/>
    <w:bookmarkStart w:id="21" w:name="引数"/>
    <w:p>
      <w:pPr>
        <w:pStyle w:val="10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第1引数:</w:t>
      </w:r>
      <w:r>
        <w:t xml:space="preserve"> </w:t>
      </w:r>
      <w:r>
        <w:rPr>
          <w:rFonts w:hint="eastAsia"/>
        </w:rPr>
        <w:t xml:space="preserve">演算種別</w:t>
      </w:r>
      <w:r>
        <w:t xml:space="preserve"> (1: </w:t>
      </w:r>
      <w:r>
        <w:rPr>
          <w:rFonts w:hint="eastAsia"/>
        </w:rPr>
        <w:t xml:space="preserve">加算,</w:t>
      </w:r>
      <w:r>
        <w:t xml:space="preserve"> 2: </w:t>
      </w:r>
      <w:r>
        <w:rPr>
          <w:rFonts w:hint="eastAsia"/>
        </w:rPr>
        <w:t xml:space="preserve">減算,</w:t>
      </w:r>
      <w:r>
        <w:t xml:space="preserve"> 3: </w:t>
      </w:r>
      <w:r>
        <w:rPr>
          <w:rFonts w:hint="eastAsia"/>
        </w:rPr>
        <w:t xml:space="preserve">乗算,</w:t>
      </w:r>
      <w:r>
        <w:t xml:space="preserve"> 4: </w:t>
      </w:r>
      <w:r>
        <w:rPr>
          <w:rFonts w:hint="eastAsia"/>
        </w:rPr>
        <w:t xml:space="preserve">除算)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第2引数:</w:t>
      </w:r>
      <w:r>
        <w:t xml:space="preserve"> </w:t>
      </w:r>
      <w:r>
        <w:rPr>
          <w:rFonts w:hint="eastAsia"/>
        </w:rPr>
        <w:t xml:space="preserve">第1オペランド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第3引数:</w:t>
      </w:r>
      <w:r>
        <w:t xml:space="preserve"> </w:t>
      </w:r>
      <w:r>
        <w:rPr>
          <w:rFonts w:hint="eastAsia"/>
        </w:rPr>
        <w:t xml:space="preserve">第2オペランド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 コマンドの処理フロー</dc:title>
  <dc:creator/>
  <cp:keywords/>
  <dcterms:created xsi:type="dcterms:W3CDTF">2026-04-02T12:27:39Z</dcterms:created>
  <dcterms:modified xsi:type="dcterms:W3CDTF">2026-04-02T12:27:39Z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